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83</w:t>
      </w:r>
    </w:p>
    <w:p>
      <w:r>
        <w:t>Bundesgericht (BGE), 2014-12-19, DE</w:t>
      </w:r>
    </w:p>
    <w:p>
      <w:r>
        <w:rPr>
          <w:b/>
        </w:rPr>
        <w:t xml:space="preserve">Quelle: </w:t>
      </w:r>
      <w:r>
        <w:t>https://mcp.opencaselaw.ch/entscheid/bge_141 II 83</w:t>
      </w:r>
    </w:p>
    <w:p>
      <w:r>
        <w:t>FR: ATF 141 II 83</w:t>
      </w:r>
    </w:p>
    <w:p>
      <w:r>
        <w:t>IT: DTF 141 II 83</w:t>
      </w:r>
    </w:p>
    <w:p>
      <w:pPr>
        <w:pStyle w:val="Heading2"/>
      </w:pPr>
      <w:r>
        <w:t>Regeste</w:t>
      </w:r>
    </w:p>
    <w:p>
      <w:r>
        <w:t>Regeste Art. 58 Abs. 1 lit. a-c DBG; Grundsatz der Massgeblichkeit der Handelsbilanz für die Steuerbilanz; Bilanzberichtigung und Bilanzänderung; Zeitpunkt; Rückstellung für Steuern. Bilanzberichtigungen können bis zur rechtskräftigen Veranlagung immer vorgenommen werden und sind von Amtes wegen vorzunehmen, weil damit die Richtigstellung einer Bilanzposition erreicht wird, welche gegen zwingende handelsrechtliche Vorschriften verstösst. Bilanzänderungen sind hingegen nur bis zur Einreichung der Steuererklärung zulässig, im Laufe des Veranlagungsverfahrens grundsätzlich nur, wenn sich zeigt, dass die Steuerpflichtige in einem entschuldbaren Irrtum über die steuerlichen Folgen gewisse Buchungen vorgenommen hat (E. 3). Im System der Gegenwartsbemessung ist grundsätzlich bei jeder Aufrechnung gestützt auf Art. 58 Abs. 1 lit. b oder c DBG die Rückstellung für die darauf zu entrichtenden Steuern entsprechend zu erhöhen (E. 5).</w:t>
      </w:r>
    </w:p>
    <w:p>
      <w:pPr>
        <w:pStyle w:val="Heading2"/>
      </w:pPr>
      <w:r>
        <w:t>Erwägungen</w:t>
      </w:r>
    </w:p>
    <w:p>
      <w:r>
        <w:rPr>
          <w:b/>
        </w:rPr>
        <w:t>E. 3.1</w:t>
      </w:r>
    </w:p>
    <w:p>
      <w:r>
        <w:t>Gemäss Art. 58 Abs. 1 lit. a DBG (SR 642.11) setzt sich der steuerbare Reingewinn aus dem Saldo der Erfolgsrechnung unter Berücksichtigung des Saldovortrages des Vorjahres zusammen. Er wird ergänzt durch alle vor Berechnung des Saldos der Erfolgsrechnung ausgeschiedenen Teile des Geschäftsergebnisses, die nicht zur Deckung des geschäftsmässigen Aufwandes verwendet werden, wie insbesondere die geschäftsmässig nicht begründeten Abschreibungen und Rückstellungen (lit. b) sowie die der Erfolgsrechnung nicht gutgeschriebenen Erträge (lit. c). Es gilt somit das Prinzip der Massgeblichkeit der nach den Regeln des Handelsrechts aufgestellten Handelsbilanz auch für die Steuerbilanz unter Vorbehalt der steuerrechtlichen Korrekturvorschriften sowie der zwingenden handelsrechtlichen Vorschriften ( BGE 137 II 353 E. 6.2 S. 359 f.; BGE 136 II 88 E. 3.1 S. 92; BGE 132 I 175 E. 2.2 S. 177 f.; BGE 119 Ib 111 E. 2c S. 115).</w:t>
      </w:r>
    </w:p>
    <w:p>
      <w:r>
        <w:rPr>
          <w:b/>
        </w:rPr>
        <w:t>E. 3.2</w:t>
      </w:r>
    </w:p>
    <w:p>
      <w:r>
        <w:t>Der Grundsatz der Massgeblichkeit der Handelsbilanz für die Steuerbilanz wirkt sich auch in verfahrensrechtlicher Hinsicht aus: BGE 141 II 83 S. 86 Die steuerpflichtige Gesellschaft muss sich nach diesem Prinzip grundsätzlich bei der von ihr in ihren ordnungsgemäss geführten Büchern erscheinenden Darstellung der Vermögenslage des Jahresergebnisses behaften lassen (Urteil 2C_515/2010 vom 13. September 2011 E. 2.2, in: StE 2011 B 23.41 Nr. 5, StR 66/2011 S. 954, mit Hinweis). Unter welchen Voraussetzungen eine bei der Steuerverwaltung mit der Steuererklärung eingereichte Bilanz dennoch korrigiert werden kann, ergibt sich nicht aus dem DBG, sondern ist durch Auslegung unter Berücksichtigung des Massgeblichkeitsprinzips und des Grundsatzes von Treu und Glauben zu ermitteln (Urteil 2A.275/1998 vom 6. März 2000 E. 3 a/bb).</w:t>
      </w:r>
    </w:p>
    <w:p>
      <w:r>
        <w:rPr>
          <w:b/>
        </w:rPr>
        <w:t>E. 3.3</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(MARKUS REICH, Steuerrecht, 2. Aufl. 2012, § 15 Rz. 67a S. 387; RICHNER/FREI/KAUFMANN/MEUTER, Handkommentar zum DBG, 2. Aufl. 2009, N. 49 ff. zu Art. 58 DBG ). 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(Urteil 2C_787/2012 / 2C_788/2012 vom 15. Januar 2013 E. 2.2, in: StE 2013 B 72.11 Nr. 23, RDAF 2013 II S. 380 mit weiteren Hinweisen; ferner Urteil 2A.275/1998 vom 6. März 2000 E. 3 a/bb; PETER LOCHER, Kommentar zum DBG, 2. Teil, 2004, N. 15, 21 zu Art. 58 DBG ). Sie werden von den Steuerbehörden in der Steuerbilanz von Amtes wegen berücksichtigt (LOCHER, a.a.O., N. 18 ff. zu Art. 58 DBG , mit Hinweis auf das Urteil 2A.275/1998 vom 6. März 2000 E. 3a/bb, in: NStP 54/2000 S. 46, 49). Bilanzberichtigungen können sich zu Gunsten oder zu Ungunsten steuerpflichtiger juristischer Person auswirken (LOCHER, a.a.O. N. 15 zu Art. 58 DBG ; Urteil 2C_911/2013 / 2C_912/2013 vom 26. August 2014 E. 6.1.2). Ist indessen die Veranlagung in Rechtskraft erwachsen, ist eine Bilanzberichtigung nur bei einem Revisionsgrund zulässig (zu Gunsten des Steuerpflichtigen) oder im Falle eines Nachsteuerverfahrens (zu Ungunsten des Steuerpflichtigen; zit. Urteil 2C_911/2013 / 2C_912/2013 ebenda; LOCHER, a.a.O., N. 21 zu Art. 58 DBG ). BGE 141 II 83 S. 87</w:t>
      </w:r>
    </w:p>
    <w:p>
      <w:r>
        <w:rPr>
          <w:b/>
        </w:rPr>
        <w:t>E. 3.4</w:t>
      </w:r>
    </w:p>
    <w:p>
      <w:r>
        <w:t>Anders verhält es sich bei Bilanzänderungen . Auszugehen ist hier vom Grundsatz, dass die Bilanz von einem gewissen Zeitpunkt an endgültig ist und nachträgliche Änderungen nicht mehr vorgenommen werden können. Nach der Rechtsprechung ist eine Änderung der Bilanz nur bis zur Einreichung der Steuererklärung zulässig (Urteile 2C_515/2010 vom 13. September 2011 E. 2.2, in: StE 2011 B 23.41 Nr. 5, StR 66/2011 S. 954, mit Hinweis; 2C_29/2012 vom 16. August 2012 E. 2.1, in: StE 2012 B 72.1 Nr. 22, StR 67/2012 S. 756; 2C_911/2013 / 2C_912/2013 ebenda, mit weiteren Hinweisen; DANIELLE YERSIN, Les corrections et modifications apportées par une entreprise à sa comptabilité et leurs conséquences fiscales, RDAF 1977 S. 371, 378). Eine Änderung der Bilanz durch die steuerpflichtige Gesellschaft im Laufe des Veranlagungsverfahrens ist grundsätzlich nur noch zulässig, wenn sich zeigt, dass sie in einem entschuldbaren Irrtum über die steuerlichen Folgen gewisse Buchungen vorgenommen hat (Urteil 2C_29/2012 ebenda; Urteil 2A.275/1998 vom 6. März 2000 E. 3 a/bb; LOCHER, a.a.O., N. 23 zu Art. 58 DBG mit weiteren Hinweisen). In der Regel ausgeschlossen sind hingegen Bilanzänderungen, mit denen Wertänderungen zum Ausgleich von Aufrechnungen im Veranlagungsverfahren erfolgen oder die lediglich aus Gründen der Steuerersparnis vorgenommen werden (zit. Urteil 2C_29/2012 E. 2.1; Urteile 2P.140/2004 / 2A.313/2004 vom 9. Dezember 2004 E. 5.4.1, in: StR 60/2005 S. 429 ff., 433 f.; 2A.275/ 1998 vom 6. März 2000 E. 3a/bb). "Bilanzberichtigungen" aus solchen Motiven sind gleichfalls nur mit äusserster Zurückhaltung anzuerkennen (zit. Urteil 2C_29/2012 E. 2.1 in fine, in: StE 2012 B 72.11 Nr. 22, StR 67/2012 S. 756). (...)</w:t>
      </w:r>
    </w:p>
    <w:p>
      <w:r>
        <w:rPr>
          <w:b/>
        </w:rPr>
        <w:t>E. 5</w:t>
      </w:r>
    </w:p>
    <w:p>
      <w:r>
        <w:t>Zu prüfen bleibt, ob der Beschwerdeführerin die nachträgliche Steuerrückstellung für die von der Veranlagungsbehörde vorgenommenen Aufrechnungen zu gewähren ist.</w:t>
      </w:r>
    </w:p>
    <w:p>
      <w:r>
        <w:rPr>
          <w:b/>
        </w:rPr>
        <w:t>E. 5.1</w:t>
      </w:r>
    </w:p>
    <w:p>
      <w:r>
        <w:t>Mit der Rückstellung wird dem laufenden Geschäftsjahr ein tatsächlich oder zumindest wahrscheinlich verursachter, in seiner Höhe aber noch nicht genau bekannter Aufwand oder Verlust, der sich erst in einer späteren Periode geldmässig verwirklicht, gewinnmindernd angerechnet (Kommission Steuerharmonisierung, Harmonisierung des Unternehmenssteuerrechts, 1995, S. 35; REICH, a.a.O., § 15 Rz. 91 S. 394). Betriebswirtschaftlich und handelsrechtlich ist allgemein anerkannt, dass für geschuldete Steuern schon vor der Veranlagung Rückstellungen oder passive Rechnungsabgrenzungsposten gebildet BGE 141 II 83 S. 88 werden müssen. Je nach Wahrscheinlichkeit ist am Tag der Bilanzerstellung die Höhe der erforderlichen Rückstellung abzuschätzen (Treuhand-Kammer, Schweizer Handbuch der Wirtschaftsprüfung [HWP], Bd. I, 2009, S. 244; zum neuen Rechnungslegungsrecht, s. auch HWP, Band "Buchführung und Rechnungslegung", 2014, S. 172, 216, 223). Nachbelastungen bei den Steuern können sich im Rahmen steuerlicher Betriebsprüfungen und hängiger Rechtsmittelverfahren infolge von übersetzten Abschreibungen, steuerlich nicht anerkannten Rückstellungen, verdeckten Gewinnausschüttungen und dergleichen ergeben (HWP, Bd. I, a.a.O.). In der Praxis wird es trotz der handelsrechtlichen Verpflichtung häufig unterlassen, solche Steuernachzahlungen zu passivieren (HWP, Bd. I, a.a.O.). Allerdings setzt die Passivierung voraus, dass eine Nachbelastung voraussehbar ist. Der steuerpflichtigen Person kann keine willkürliche Unterlassung einer Rückstellung vorgeworfen werden, wenn die Abweichung von der Deklaration nicht voraussehbar war, z.B. bei unterschiedlichen Auffassungen über die Bewertung (RICHNER UND ANDERE, a.a.O., N. 8 zu Art. 59 DBG ). Fraglich ist daher, ob und gegebenenfalls unter welchen Voraussetzungen eine Rückstellung für Steuernachforderungen auch noch nachträglich zugelassen werden kann.</w:t>
      </w:r>
    </w:p>
    <w:p>
      <w:r>
        <w:rPr>
          <w:b/>
        </w:rPr>
        <w:t>E. 5.2</w:t>
      </w:r>
    </w:p>
    <w:p>
      <w:r>
        <w:t>Die Doktrin ist in dieser Frage nicht einheitlich. Nach einer Lehrmeinung (AGNER/JUNG/STEINMANN, Kommentar zum Gesetz über die direkte Bundessteuer, 1995, N. 5 f. zu Art. 59 DBG ) steht einer nachträglichen Anpassung der Steuerrückstellung der Grundsatz der Massgeblichkeit der Handelsbilanz entgegen. Eine nachträgliche Erhöhung der Steuerrückstellung könne nur berücksichtigt werden, wenn die Veranlagung noch nicht in Rechtskraft erwachsen sei und eine entsprechende durch die Generalversammlung genehmigte Bilanzkorrektur vorliege. Es wird daher vorgeschlagen, solche Rückstellungen von Anfang an mit einer gewissen "Reserve" zu bilden. Nach Ansicht der Autoren des Handkommentars zum DBG (RICHNER UND ANDERE, a.a.O., N. 6-8 zu Art. 59 DBG ) verlangt das Imparitätsprinzip, dass für die im Zeitpunkt der Bilanzerstellung noch nicht bilanzierten Steuern Rückstellungen gebildet werden; andernfalls bestehe die Gefahr eines doppelten Abzugs, da bezahlte Steuern in jedem Fall geschäftsmässig begründeten Aufwand bilden würden. Unterbleibe eine Rückstellung, könne dies nicht nachgeholt werden, auch wenn sich nachträglich aufgrund einer Aufrechnung durch die Veranlagungsbehörde der steuerbare Gewinn erhöhe. BGE 141 II 83 S. 89</w:t>
      </w:r>
    </w:p>
    <w:p>
      <w:r>
        <w:rPr>
          <w:b/>
        </w:rPr>
        <w:t>E. 5.3</w:t>
      </w:r>
    </w:p>
    <w:p>
      <w:r>
        <w:t>Nach einer neueren Ansicht in der Literatur (LOCHER, a.a.O, N. 11 f. zu Art. 58 DBG ) ergibt sich aus dem Prinzip der Massgeblichkeit der nach den Regeln des Handelsrechts erstellten Handelsbilanz für die Steuerbilanz, dass die Steuerbehörde bei Verstoss gegen zwingende handelsrechtliche Grundsätze eine Bilanzberichtigung vorzunehmen habe. Folgerichtig habe sie im System der jährlichen Gegenwartsbemessung bei Aufrechnungen nach Art. 58 Abs. 1 lit. b oder c DBG auch die Rückstellungen für die darauf zu entrichtenden Steuern (Art. 59 Abs. 1 lit. a in Verbindung mit Art. 63 DBG ) von Amtes wegen zu erhöhen (LOCHER, a.a.O, N. 11 f. zu Art. 58 DBG ). Diese Ansicht wird nun auch von BRÜLISAUER/HELBING (in: Bundesgesetz über die direkte Bundessteuer, Kommentar zum schweizerischen Steuerrecht, Bd. I/2a, 2. Aufl. 2008, N. 9 zu Art. 59 DBG ) und ROBERT DANON (in: Commentaire romand, Impôt fédéral direct, 2008, N. 7 zu Art. 59 DBG ) geteilt.</w:t>
      </w:r>
    </w:p>
    <w:p>
      <w:r>
        <w:rPr>
          <w:b/>
        </w:rPr>
        <w:t>E. 5.4</w:t>
      </w:r>
    </w:p>
    <w:p>
      <w:r>
        <w:t>Die Rechtsprechung vermittelt kein einheitliches Bild. Nach der Praxis des Zürcher Verwaltungsgerichts können Rückstellungen für die zusätzlichen, durch die Aufrechnung verursachten Steuern nicht gewährt werden, da Steuerrückstellungen nur dann abzugsfähig sind, wenn sie verbucht und offen ausgewiesen werden (Urteile des Verwaltungsgerichts des Kantons Zürich vom 21. Mai 2003 E. 3, in: StE 2004 B 72.14.2 Nr. 32, und vom 19. Mai 1999 E. 3, in: StE 2000 B 72.11 Nr. 9). Gemäss einem Urteil des Verwaltungsgerichts des Kantons Freiburg sind die Steuerrückstellungen anzupassen, wenn geschäftsmässig nicht begründeter Aufwand zum steuerbaren Gewinn hinzugerechnet wird (Urteil vom 2. Mai 2003, in: StE 2004 B 72. 14.1 Nr. 23, RDAF 2006 II S. 554). Das Verwaltungsgericht bezog sich dabei auf ein Urteil des Bundesgerichts, wo dieses erkannte, dass den durch Erhöhung des Einkommens aus selbständiger Erwerbstätigkeit erhöhten AHV-Beiträgen durch eine Bilanzberichtigung in Form einer Korrektur bei den passiven Rechnungsabgrenzungen Rechnung zu tragen sei (Urteil 2A.63/1998 vom 12. Mai 1999 E. 5, in: NStP 54/2000 S. 57).</w:t>
      </w:r>
    </w:p>
    <w:p>
      <w:r>
        <w:rPr>
          <w:b/>
        </w:rPr>
        <w:t>E. 5.5</w:t>
      </w:r>
    </w:p>
    <w:p>
      <w:r>
        <w:t>Die hauptsächlich von LOCHER und von weiteren Autoren vertretene neuere Auffassung verdient Zustimmung. Im System der Gegenwartsbemessung ist grundsätzlich bei jeder Aufrechnung gestützt auf Art. 58 Abs. 1 lit. b oder c DBG die Rückstellung für die darauf zu entrichtenden Steuern entsprechend zu erhöhen. Zum BGE 141 II 83 S. 90 geschäftsmässig begründeten Aufwand gehören auch die eidgenössischen, kantonalen und kommunalen Steuern ( Art. 59 Abs. 1 lit. a DBG ). Dieses Vorgehen ergibt sich somit nicht nur aus handelsrechtlich zwingenden Vorschriften, sondern folgt direkt aus steuerrechtlichen Normen (Art. 58 Abs. 1 lit. b oder c in Verbindung mit Art. 59 Abs. 1 lit. a DBG ). Es ist somit nicht zu sehen, inwiefern das Massgeblichkeitsprinzip einer Korrektur in der Steuerbilanz entgegenstehen könnte. Die steuerlichen Vorschriften zur Korrektur in Form der Steuerbilanz nehmen auch nicht Rücksicht darauf, aus welchen Motiven eine Bilanzierung unterblieb und ob die Aufrechnung vorauszusehen war oder nicht. Nicht angängig ist es daher, die Steuerrückstellung davon abhängig zu machen, dass der Steuerpflichtige die Aufrechnung nicht vorhersehen konnte. Das Problem, dass Bemessungsperiode und Steuerperiode auseinanderfallen, und die damit zusammenhängende zeitversetzte Berücksichtigung der Steuerrückstellung, stellt sich bei der Gegenwartsbemessung nicht mehr. Auf diesen Aspekt weisen bereits AGNER/JUNG/ STEINMANN (a.a.O, N. 6 zu Art. 59 DBG ) hin, wenn sie ausführen, dass das geltende Postnumerando-System mit Gegenwartsbemessung "einen triftigen Grund" darstelle, um die mit dem steuerbaren Gewinn korrelierende Rückstellung für Steuern "gegebenenfalls in mässiger Abweichung vom Grundsatz der Massgeblichkeit der Handelsbilanz von Amtes wegen auch zugunsten der Steuerpflichtigen anzuwenden". Eine Bilanzberichtigung für die Steuerrückstellung ist somit auch im vorliegenden Fall von Bundesrechts wegen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